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DE73" w14:textId="2B477C63" w:rsidR="008463D6" w:rsidRDefault="008463D6" w:rsidP="008463D6">
      <w:pPr>
        <w:jc w:val="center"/>
        <w:rPr>
          <w:b/>
          <w:bCs/>
        </w:rPr>
      </w:pPr>
      <w:r w:rsidRPr="008463D6">
        <w:rPr>
          <w:b/>
          <w:bCs/>
        </w:rPr>
        <w:t>ANEXO FICHA MANIFESTACIÓN DE INTERÉS</w:t>
      </w:r>
    </w:p>
    <w:p w14:paraId="707BA061" w14:textId="51C48ED7" w:rsidR="008463D6" w:rsidRDefault="008463D6" w:rsidP="008463D6">
      <w:pPr>
        <w:jc w:val="center"/>
        <w:rPr>
          <w:b/>
          <w:bCs/>
        </w:rPr>
      </w:pPr>
    </w:p>
    <w:p w14:paraId="7CA8B3A1" w14:textId="78F38FCD" w:rsidR="008463D6" w:rsidRPr="008463D6" w:rsidRDefault="008463D6" w:rsidP="008463D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2E0AFA6" wp14:editId="56DA8910">
            <wp:extent cx="3405600" cy="1702800"/>
            <wp:effectExtent l="0" t="0" r="4445" b="0"/>
            <wp:docPr id="2" name="Imagen 2" descr="Z:\Plan Europeo de Recuperacio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Z:\Plan Europeo de Recuperacion\Log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600" cy="17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4F6D6" w14:textId="77777777" w:rsidR="008463D6" w:rsidRDefault="008463D6" w:rsidP="008463D6">
      <w:pPr>
        <w:spacing w:after="120"/>
      </w:pPr>
    </w:p>
    <w:p w14:paraId="19F79212" w14:textId="77777777" w:rsidR="008463D6" w:rsidRPr="008463D6" w:rsidRDefault="008463D6" w:rsidP="008463D6">
      <w:pPr>
        <w:rPr>
          <w:b/>
          <w:bCs/>
        </w:rPr>
      </w:pPr>
      <w:r w:rsidRPr="008463D6">
        <w:rPr>
          <w:b/>
          <w:bCs/>
        </w:rPr>
        <w:t>Impactos cuantitativos (a corto/medio/largo plazo)</w:t>
      </w:r>
    </w:p>
    <w:p w14:paraId="49AB6D04" w14:textId="6717A514" w:rsidR="008463D6" w:rsidRPr="008463D6" w:rsidRDefault="008463D6" w:rsidP="008463D6">
      <w:pPr>
        <w:pStyle w:val="Prrafodelista"/>
        <w:numPr>
          <w:ilvl w:val="0"/>
          <w:numId w:val="6"/>
        </w:numPr>
        <w:rPr>
          <w:i/>
          <w:iCs/>
        </w:rPr>
      </w:pPr>
      <w:r w:rsidRPr="008463D6">
        <w:rPr>
          <w:i/>
          <w:iCs/>
        </w:rPr>
        <w:t xml:space="preserve">Creación de X puestos de trabajo: </w:t>
      </w:r>
    </w:p>
    <w:p w14:paraId="5082204C" w14:textId="4ADEF988" w:rsidR="008463D6" w:rsidRPr="008463D6" w:rsidRDefault="008463D6" w:rsidP="008463D6">
      <w:pPr>
        <w:pStyle w:val="Prrafodelista"/>
        <w:numPr>
          <w:ilvl w:val="0"/>
          <w:numId w:val="6"/>
        </w:numPr>
        <w:tabs>
          <w:tab w:val="right" w:leader="dot" w:pos="9632"/>
        </w:tabs>
        <w:rPr>
          <w:i/>
          <w:iCs/>
        </w:rPr>
      </w:pPr>
      <w:r w:rsidRPr="008463D6">
        <w:rPr>
          <w:i/>
          <w:iCs/>
        </w:rPr>
        <w:t>Incremento de facturación de la empresa (%):</w:t>
      </w:r>
    </w:p>
    <w:p w14:paraId="2201422D" w14:textId="58EDA9BF" w:rsidR="008463D6" w:rsidRPr="008463D6" w:rsidRDefault="008463D6" w:rsidP="008463D6">
      <w:pPr>
        <w:pStyle w:val="Prrafodelista"/>
        <w:numPr>
          <w:ilvl w:val="0"/>
          <w:numId w:val="6"/>
        </w:numPr>
        <w:tabs>
          <w:tab w:val="right" w:leader="dot" w:pos="9632"/>
        </w:tabs>
        <w:rPr>
          <w:i/>
          <w:iCs/>
        </w:rPr>
      </w:pPr>
      <w:r w:rsidRPr="008463D6">
        <w:rPr>
          <w:i/>
          <w:iCs/>
        </w:rPr>
        <w:t>Otros (especificar):</w:t>
      </w:r>
    </w:p>
    <w:p w14:paraId="3365C791" w14:textId="77777777" w:rsidR="008463D6" w:rsidRPr="008463D6" w:rsidRDefault="008463D6" w:rsidP="008463D6">
      <w:pPr>
        <w:rPr>
          <w:b/>
          <w:bCs/>
        </w:rPr>
      </w:pPr>
    </w:p>
    <w:p w14:paraId="3928E28A" w14:textId="712F9B0A" w:rsidR="008463D6" w:rsidRPr="008463D6" w:rsidRDefault="008463D6" w:rsidP="008463D6">
      <w:pPr>
        <w:rPr>
          <w:b/>
          <w:bCs/>
        </w:rPr>
      </w:pPr>
      <w:r w:rsidRPr="008463D6">
        <w:rPr>
          <w:b/>
          <w:bCs/>
        </w:rPr>
        <w:t>CALENDARIO, Presupuesto y Estructura de Financiación</w:t>
      </w:r>
      <w:r w:rsidR="0069443D">
        <w:rPr>
          <w:b/>
          <w:bCs/>
        </w:rPr>
        <w:t xml:space="preserve">. </w:t>
      </w:r>
    </w:p>
    <w:p w14:paraId="7087A903" w14:textId="77777777" w:rsidR="008463D6" w:rsidRPr="008463D6" w:rsidRDefault="008463D6" w:rsidP="008463D6">
      <w:pPr>
        <w:rPr>
          <w:b/>
          <w:bCs/>
        </w:rPr>
      </w:pPr>
    </w:p>
    <w:tbl>
      <w:tblPr>
        <w:tblStyle w:val="azulzabalasinsombreadoparaactividades"/>
        <w:tblW w:w="5000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849"/>
        <w:gridCol w:w="709"/>
        <w:gridCol w:w="709"/>
        <w:gridCol w:w="709"/>
        <w:gridCol w:w="709"/>
        <w:gridCol w:w="709"/>
        <w:gridCol w:w="707"/>
      </w:tblGrid>
      <w:tr w:rsidR="008463D6" w14:paraId="5D4DCC9A" w14:textId="77777777" w:rsidTr="00846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1F4F35B" w14:textId="48DB6B02" w:rsidR="008463D6" w:rsidRPr="008463D6" w:rsidRDefault="008463D6" w:rsidP="008463D6">
            <w:pPr>
              <w:spacing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8463D6">
              <w:rPr>
                <w:b/>
                <w:bCs/>
                <w:color w:val="auto"/>
                <w:sz w:val="20"/>
                <w:szCs w:val="20"/>
              </w:rPr>
              <w:t>Calendario y presupuesto</w:t>
            </w:r>
          </w:p>
          <w:p w14:paraId="619E6086" w14:textId="212EF836" w:rsidR="008463D6" w:rsidRPr="008463D6" w:rsidRDefault="008463D6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463D6">
              <w:rPr>
                <w:b/>
                <w:bCs/>
                <w:color w:val="auto"/>
                <w:sz w:val="20"/>
                <w:szCs w:val="20"/>
              </w:rPr>
              <w:t>Fecha de inicio:</w:t>
            </w:r>
          </w:p>
          <w:p w14:paraId="13E9CEAC" w14:textId="77777777" w:rsidR="008463D6" w:rsidRPr="008463D6" w:rsidRDefault="008463D6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463D6">
              <w:rPr>
                <w:b/>
                <w:bCs/>
                <w:color w:val="auto"/>
                <w:sz w:val="20"/>
                <w:szCs w:val="20"/>
              </w:rPr>
              <w:t>Fecha de finalización:</w:t>
            </w:r>
          </w:p>
          <w:p w14:paraId="0BAA55BC" w14:textId="77777777" w:rsidR="008463D6" w:rsidRPr="008463D6" w:rsidRDefault="008463D6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463D6">
              <w:rPr>
                <w:b/>
                <w:bCs/>
                <w:color w:val="auto"/>
                <w:sz w:val="20"/>
                <w:szCs w:val="20"/>
              </w:rPr>
              <w:t>Fases e hitos:</w:t>
            </w:r>
          </w:p>
          <w:p w14:paraId="20A7B815" w14:textId="3095F0F6" w:rsidR="008463D6" w:rsidRPr="008463D6" w:rsidRDefault="008463D6" w:rsidP="008463D6">
            <w:pPr>
              <w:spacing w:line="240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tr w:rsidR="008463D6" w14:paraId="52B6C38B" w14:textId="77777777" w:rsidTr="008463D6">
        <w:trPr>
          <w:trHeight w:val="476"/>
          <w:jc w:val="center"/>
        </w:trPr>
        <w:tc>
          <w:tcPr>
            <w:tcW w:w="1999" w:type="pct"/>
            <w:vMerge w:val="restart"/>
            <w:shd w:val="clear" w:color="auto" w:fill="FFFFFF" w:themeFill="background1"/>
          </w:tcPr>
          <w:p w14:paraId="0CAF1B05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001" w:type="pct"/>
            <w:gridSpan w:val="7"/>
            <w:shd w:val="clear" w:color="auto" w:fill="FFFFFF" w:themeFill="background1"/>
            <w:hideMark/>
          </w:tcPr>
          <w:p w14:paraId="34AC57F3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Coste estimado por año (millones EUR)</w:t>
            </w:r>
          </w:p>
        </w:tc>
      </w:tr>
      <w:tr w:rsidR="008463D6" w14:paraId="299631AC" w14:textId="77777777" w:rsidTr="008463D6">
        <w:trPr>
          <w:jc w:val="center"/>
        </w:trPr>
        <w:tc>
          <w:tcPr>
            <w:tcW w:w="0" w:type="auto"/>
            <w:vMerge/>
            <w:hideMark/>
          </w:tcPr>
          <w:p w14:paraId="48788329" w14:textId="77777777" w:rsidR="008463D6" w:rsidRPr="008463D6" w:rsidRDefault="008463D6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500" w:type="pct"/>
            <w:shd w:val="clear" w:color="auto" w:fill="FFFFFF" w:themeFill="background1"/>
            <w:hideMark/>
          </w:tcPr>
          <w:p w14:paraId="524CA9AA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2020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14:paraId="6215BC91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2021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14:paraId="76EFF066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2022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14:paraId="6DE65E35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2023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14:paraId="39B8F97C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2024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14:paraId="0847E8FC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2025</w:t>
            </w:r>
          </w:p>
        </w:tc>
        <w:tc>
          <w:tcPr>
            <w:tcW w:w="416" w:type="pct"/>
            <w:shd w:val="clear" w:color="auto" w:fill="FFFFFF" w:themeFill="background1"/>
            <w:hideMark/>
          </w:tcPr>
          <w:p w14:paraId="49C1C458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2026</w:t>
            </w:r>
          </w:p>
        </w:tc>
      </w:tr>
      <w:tr w:rsidR="008463D6" w14:paraId="496A15CB" w14:textId="77777777" w:rsidTr="008463D6">
        <w:trPr>
          <w:jc w:val="center"/>
        </w:trPr>
        <w:tc>
          <w:tcPr>
            <w:tcW w:w="1999" w:type="pct"/>
            <w:shd w:val="clear" w:color="auto" w:fill="FFFFFF" w:themeFill="background1"/>
            <w:vAlign w:val="top"/>
            <w:hideMark/>
          </w:tcPr>
          <w:p w14:paraId="01FC54D3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  <w:r w:rsidRPr="008463D6">
              <w:rPr>
                <w:color w:val="auto"/>
                <w:sz w:val="20"/>
              </w:rPr>
              <w:t>Inversiones:</w:t>
            </w:r>
          </w:p>
        </w:tc>
        <w:tc>
          <w:tcPr>
            <w:tcW w:w="500" w:type="pct"/>
            <w:shd w:val="clear" w:color="auto" w:fill="FFFFFF" w:themeFill="background1"/>
          </w:tcPr>
          <w:p w14:paraId="484EE51D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15B867CD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5E72DAEB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77455318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3991A4DF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236EE13F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14:paraId="6FC3E661" w14:textId="77777777" w:rsidR="008463D6" w:rsidRDefault="008463D6">
            <w:pPr>
              <w:pStyle w:val="tablatexto8"/>
              <w:rPr>
                <w:sz w:val="20"/>
              </w:rPr>
            </w:pPr>
          </w:p>
        </w:tc>
      </w:tr>
      <w:tr w:rsidR="008463D6" w14:paraId="587EF0DF" w14:textId="77777777" w:rsidTr="008463D6">
        <w:trPr>
          <w:jc w:val="center"/>
        </w:trPr>
        <w:tc>
          <w:tcPr>
            <w:tcW w:w="1999" w:type="pct"/>
            <w:shd w:val="clear" w:color="auto" w:fill="FFFFFF" w:themeFill="background1"/>
            <w:vAlign w:val="top"/>
            <w:hideMark/>
          </w:tcPr>
          <w:p w14:paraId="05D2DEA6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  <w:r w:rsidRPr="008463D6">
              <w:rPr>
                <w:color w:val="auto"/>
                <w:sz w:val="20"/>
              </w:rPr>
              <w:t>Proyecto de I+D+i</w:t>
            </w:r>
          </w:p>
        </w:tc>
        <w:tc>
          <w:tcPr>
            <w:tcW w:w="500" w:type="pct"/>
            <w:shd w:val="clear" w:color="auto" w:fill="FFFFFF" w:themeFill="background1"/>
          </w:tcPr>
          <w:p w14:paraId="05B427E0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6B6A7E3C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6F79B709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2B6FBC32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7893A19A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52AB902C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14:paraId="1AC6D24F" w14:textId="77777777" w:rsidR="008463D6" w:rsidRDefault="008463D6">
            <w:pPr>
              <w:pStyle w:val="tablatexto8"/>
              <w:rPr>
                <w:sz w:val="20"/>
              </w:rPr>
            </w:pPr>
          </w:p>
        </w:tc>
      </w:tr>
      <w:tr w:rsidR="008463D6" w14:paraId="1C8C90BC" w14:textId="77777777" w:rsidTr="008463D6">
        <w:trPr>
          <w:jc w:val="center"/>
        </w:trPr>
        <w:tc>
          <w:tcPr>
            <w:tcW w:w="1999" w:type="pct"/>
            <w:shd w:val="clear" w:color="auto" w:fill="FFFFFF" w:themeFill="background1"/>
            <w:vAlign w:val="top"/>
            <w:hideMark/>
          </w:tcPr>
          <w:p w14:paraId="18EB827E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  <w:r w:rsidRPr="008463D6">
              <w:rPr>
                <w:color w:val="auto"/>
                <w:sz w:val="20"/>
              </w:rPr>
              <w:t>Otros</w:t>
            </w:r>
          </w:p>
        </w:tc>
        <w:tc>
          <w:tcPr>
            <w:tcW w:w="500" w:type="pct"/>
            <w:shd w:val="clear" w:color="auto" w:fill="FFFFFF" w:themeFill="background1"/>
          </w:tcPr>
          <w:p w14:paraId="1DF9C955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12AD8624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25FFD8C3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632B87D4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1806CBCD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57C52DA5" w14:textId="77777777" w:rsidR="008463D6" w:rsidRPr="008463D6" w:rsidRDefault="008463D6">
            <w:pPr>
              <w:pStyle w:val="tablatexto8"/>
              <w:rPr>
                <w:color w:val="auto"/>
                <w:sz w:val="20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14:paraId="4274F94B" w14:textId="77777777" w:rsidR="008463D6" w:rsidRDefault="008463D6">
            <w:pPr>
              <w:pStyle w:val="tablatexto8"/>
              <w:rPr>
                <w:sz w:val="20"/>
              </w:rPr>
            </w:pPr>
          </w:p>
        </w:tc>
      </w:tr>
      <w:tr w:rsidR="008463D6" w14:paraId="433A2843" w14:textId="77777777" w:rsidTr="008463D6">
        <w:trPr>
          <w:jc w:val="center"/>
        </w:trPr>
        <w:tc>
          <w:tcPr>
            <w:tcW w:w="1999" w:type="pct"/>
            <w:shd w:val="clear" w:color="auto" w:fill="FFFFFF" w:themeFill="background1"/>
            <w:vAlign w:val="top"/>
            <w:hideMark/>
          </w:tcPr>
          <w:p w14:paraId="579931A5" w14:textId="77777777" w:rsidR="008463D6" w:rsidRPr="008463D6" w:rsidRDefault="008463D6">
            <w:pPr>
              <w:pStyle w:val="tablatexto8"/>
              <w:jc w:val="left"/>
              <w:rPr>
                <w:b/>
                <w:bCs/>
                <w:color w:val="auto"/>
                <w:sz w:val="20"/>
              </w:rPr>
            </w:pPr>
            <w:r w:rsidRPr="008463D6">
              <w:rPr>
                <w:b/>
                <w:bCs/>
                <w:color w:val="auto"/>
                <w:sz w:val="20"/>
              </w:rPr>
              <w:t>TOTAL</w:t>
            </w:r>
            <w:r w:rsidRPr="008463D6">
              <w:rPr>
                <w:color w:val="auto"/>
                <w:sz w:val="20"/>
              </w:rPr>
              <w:t>:</w:t>
            </w:r>
          </w:p>
        </w:tc>
        <w:tc>
          <w:tcPr>
            <w:tcW w:w="500" w:type="pct"/>
            <w:shd w:val="clear" w:color="auto" w:fill="FFFFFF" w:themeFill="background1"/>
          </w:tcPr>
          <w:p w14:paraId="2B126D5F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7CFA9499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3423AF8A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581201A5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45D5FFD7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3DC4C056" w14:textId="77777777" w:rsidR="008463D6" w:rsidRPr="008463D6" w:rsidRDefault="008463D6">
            <w:pPr>
              <w:pStyle w:val="tablatexto8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14:paraId="401365EE" w14:textId="77777777" w:rsidR="008463D6" w:rsidRDefault="008463D6">
            <w:pPr>
              <w:pStyle w:val="tablatexto8"/>
              <w:jc w:val="center"/>
              <w:rPr>
                <w:b/>
                <w:bCs/>
                <w:color w:val="F4884C"/>
                <w:sz w:val="20"/>
              </w:rPr>
            </w:pPr>
          </w:p>
        </w:tc>
      </w:tr>
    </w:tbl>
    <w:p w14:paraId="5181BA28" w14:textId="085F1C9C" w:rsidR="00B1023C" w:rsidRDefault="00B1023C"/>
    <w:p w14:paraId="000BC8A7" w14:textId="77777777" w:rsidR="00DE5E22" w:rsidRDefault="00DE5E22" w:rsidP="00DE5E22">
      <w:pPr>
        <w:rPr>
          <w:b/>
          <w:bCs/>
          <w:sz w:val="20"/>
          <w:szCs w:val="20"/>
        </w:rPr>
      </w:pPr>
      <w:r>
        <w:rPr>
          <w:rFonts w:ascii="Segoe UI" w:eastAsia="Times New Roman" w:hAnsi="Segoe UI"/>
          <w:b/>
          <w:bCs/>
          <w:sz w:val="20"/>
          <w:szCs w:val="20"/>
        </w:rPr>
        <w:t>Alineación con el Plan de Recuperación, Transformación y Resiliencia</w:t>
      </w:r>
    </w:p>
    <w:p w14:paraId="5F1D6D15" w14:textId="77777777" w:rsidR="00DE5E22" w:rsidRDefault="003B7DEC" w:rsidP="00DE5E22">
      <w:pPr>
        <w:ind w:left="360"/>
        <w:jc w:val="both"/>
        <w:rPr>
          <w:rFonts w:cstheme="minorHAnsi"/>
          <w:noProof/>
          <w:lang w:eastAsia="es-ES"/>
        </w:rPr>
      </w:pPr>
      <w:sdt>
        <w:sdtPr>
          <w:rPr>
            <w:rFonts w:cstheme="minorHAnsi"/>
            <w:noProof/>
            <w:lang w:eastAsia="es-ES"/>
          </w:rPr>
          <w:id w:val="178314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E22">
            <w:rPr>
              <w:rFonts w:ascii="Segoe UI Symbol" w:eastAsia="MS Gothic" w:hAnsi="Segoe UI Symbol" w:cs="Segoe UI Symbol"/>
              <w:noProof/>
              <w:lang w:eastAsia="es-ES"/>
            </w:rPr>
            <w:t>☐</w:t>
          </w:r>
        </w:sdtContent>
      </w:sdt>
      <w:r w:rsidR="00DE5E22">
        <w:rPr>
          <w:rFonts w:cstheme="minorHAnsi"/>
          <w:noProof/>
          <w:lang w:eastAsia="es-ES"/>
        </w:rPr>
        <w:t>Transformación digital</w:t>
      </w:r>
    </w:p>
    <w:p w14:paraId="06EEA43D" w14:textId="77777777" w:rsidR="00DE5E22" w:rsidRDefault="003B7DEC" w:rsidP="00DE5E22">
      <w:pPr>
        <w:ind w:left="360"/>
        <w:jc w:val="both"/>
        <w:rPr>
          <w:rFonts w:cstheme="minorHAnsi"/>
          <w:noProof/>
          <w:lang w:eastAsia="es-ES"/>
        </w:rPr>
      </w:pPr>
      <w:sdt>
        <w:sdtPr>
          <w:rPr>
            <w:rFonts w:cstheme="minorHAnsi"/>
            <w:noProof/>
            <w:lang w:eastAsia="es-ES"/>
          </w:rPr>
          <w:id w:val="57609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E22">
            <w:rPr>
              <w:rFonts w:ascii="Segoe UI Symbol" w:eastAsia="MS Gothic" w:hAnsi="Segoe UI Symbol" w:cs="Segoe UI Symbol"/>
              <w:noProof/>
              <w:lang w:eastAsia="es-ES"/>
            </w:rPr>
            <w:t>☐</w:t>
          </w:r>
        </w:sdtContent>
      </w:sdt>
      <w:r w:rsidR="00DE5E22">
        <w:rPr>
          <w:rFonts w:cstheme="minorHAnsi"/>
          <w:noProof/>
          <w:lang w:eastAsia="es-ES"/>
        </w:rPr>
        <w:t>Transición ecológica</w:t>
      </w:r>
    </w:p>
    <w:p w14:paraId="0C1F5E9A" w14:textId="77777777" w:rsidR="00DE5E22" w:rsidRDefault="003B7DEC" w:rsidP="00DE5E22">
      <w:pPr>
        <w:ind w:left="360"/>
        <w:jc w:val="both"/>
        <w:rPr>
          <w:rFonts w:cstheme="minorHAnsi"/>
          <w:noProof/>
          <w:lang w:eastAsia="es-ES"/>
        </w:rPr>
      </w:pPr>
      <w:sdt>
        <w:sdtPr>
          <w:rPr>
            <w:rFonts w:cstheme="minorHAnsi"/>
            <w:noProof/>
            <w:lang w:eastAsia="es-ES"/>
          </w:rPr>
          <w:id w:val="73683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E22">
            <w:rPr>
              <w:rFonts w:ascii="MS Gothic" w:eastAsia="MS Gothic" w:hAnsi="MS Gothic" w:cstheme="minorHAnsi" w:hint="eastAsia"/>
              <w:noProof/>
              <w:lang w:eastAsia="es-ES"/>
            </w:rPr>
            <w:t>☐</w:t>
          </w:r>
        </w:sdtContent>
      </w:sdt>
      <w:r w:rsidR="00DE5E22">
        <w:rPr>
          <w:rFonts w:cstheme="minorHAnsi"/>
          <w:noProof/>
          <w:lang w:eastAsia="es-ES"/>
        </w:rPr>
        <w:t>Cohesión terrritorial y social</w:t>
      </w:r>
    </w:p>
    <w:p w14:paraId="2A7CF464" w14:textId="77777777" w:rsidR="00DE5E22" w:rsidRDefault="003B7DEC" w:rsidP="00DE5E22">
      <w:pPr>
        <w:ind w:left="360"/>
        <w:jc w:val="both"/>
        <w:rPr>
          <w:rFonts w:cstheme="minorHAnsi"/>
          <w:noProof/>
          <w:lang w:eastAsia="es-ES"/>
        </w:rPr>
      </w:pPr>
      <w:sdt>
        <w:sdtPr>
          <w:rPr>
            <w:rFonts w:cstheme="minorHAnsi"/>
            <w:noProof/>
            <w:lang w:eastAsia="es-ES"/>
          </w:rPr>
          <w:id w:val="155488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E22">
            <w:rPr>
              <w:rFonts w:ascii="Segoe UI Symbol" w:eastAsia="MS Gothic" w:hAnsi="Segoe UI Symbol" w:cs="Segoe UI Symbol"/>
              <w:noProof/>
              <w:lang w:eastAsia="es-ES"/>
            </w:rPr>
            <w:t>☐</w:t>
          </w:r>
        </w:sdtContent>
      </w:sdt>
      <w:r w:rsidR="00DE5E22">
        <w:rPr>
          <w:rFonts w:cstheme="minorHAnsi"/>
          <w:noProof/>
          <w:lang w:eastAsia="es-ES"/>
        </w:rPr>
        <w:t>Igualdad</w:t>
      </w:r>
    </w:p>
    <w:p w14:paraId="4BAB6C99" w14:textId="77777777" w:rsidR="00DE5E22" w:rsidRPr="00DE5E22" w:rsidRDefault="00DE5E22" w:rsidP="00DE5E22">
      <w:pPr>
        <w:rPr>
          <w:b/>
          <w:bCs/>
        </w:rPr>
      </w:pPr>
    </w:p>
    <w:p w14:paraId="0A721302" w14:textId="77777777" w:rsidR="00DE5E22" w:rsidRPr="00DE5E22" w:rsidRDefault="00DE5E22" w:rsidP="00DE5E22">
      <w:pPr>
        <w:rPr>
          <w:b/>
          <w:bCs/>
        </w:rPr>
      </w:pPr>
      <w:r w:rsidRPr="00DE5E22">
        <w:rPr>
          <w:b/>
          <w:bCs/>
        </w:rPr>
        <w:t xml:space="preserve">ENCAJE CON EL PLAN DE recuperación y Resiliencia (Next </w:t>
      </w:r>
      <w:proofErr w:type="spellStart"/>
      <w:r w:rsidRPr="00DE5E22">
        <w:rPr>
          <w:b/>
          <w:bCs/>
        </w:rPr>
        <w:t>Generation</w:t>
      </w:r>
      <w:proofErr w:type="spellEnd"/>
      <w:r w:rsidRPr="00DE5E22">
        <w:rPr>
          <w:b/>
          <w:bCs/>
        </w:rPr>
        <w:t xml:space="preserve"> EU)</w:t>
      </w:r>
    </w:p>
    <w:p w14:paraId="78AA01ED" w14:textId="77777777" w:rsidR="00DE5E22" w:rsidRDefault="00DE5E22" w:rsidP="00DE5E22">
      <w:pPr>
        <w:rPr>
          <w:sz w:val="6"/>
          <w:szCs w:val="6"/>
          <w:lang w:eastAsia="es-ES_tradnl"/>
        </w:rPr>
      </w:pPr>
    </w:p>
    <w:tbl>
      <w:tblPr>
        <w:tblStyle w:val="azulzabalasinsombreadoparaactividades"/>
        <w:tblW w:w="5000" w:type="pct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DE5E22" w:rsidRPr="00DE5E22" w14:paraId="2CF88A9F" w14:textId="77777777" w:rsidTr="00DE5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2D18D6E3" w14:textId="77777777" w:rsidR="00DE5E22" w:rsidRPr="00DE5E22" w:rsidRDefault="00DE5E22">
            <w:pPr>
              <w:pStyle w:val="tablattuloblanco10"/>
              <w:rPr>
                <w:b/>
                <w:bCs/>
                <w:color w:val="auto"/>
                <w:lang w:val="en-GB"/>
              </w:rPr>
            </w:pPr>
            <w:r w:rsidRPr="00DE5E22">
              <w:rPr>
                <w:b/>
                <w:bCs/>
                <w:color w:val="auto"/>
                <w:lang w:val="en-GB"/>
              </w:rPr>
              <w:t xml:space="preserve">Flagship </w:t>
            </w:r>
            <w:r w:rsidRPr="00DE5E22">
              <w:rPr>
                <w:b/>
                <w:bCs/>
                <w:color w:val="auto"/>
              </w:rPr>
              <w:t>(Ámbitos emblemáticos)</w:t>
            </w:r>
          </w:p>
        </w:tc>
      </w:tr>
      <w:tr w:rsidR="00DE5E22" w:rsidRPr="00DE5E22" w14:paraId="2BB53DEC" w14:textId="77777777" w:rsidTr="00DE5E22"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55EACC87" w14:textId="77777777" w:rsidR="00DE5E22" w:rsidRPr="00DE5E22" w:rsidRDefault="003B7DEC" w:rsidP="00DE5E22">
            <w:pPr>
              <w:spacing w:line="240" w:lineRule="auto"/>
              <w:jc w:val="left"/>
              <w:rPr>
                <w:rFonts w:eastAsiaTheme="minorHAnsi"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20517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Encendido: tecnologías limpias; energías renovables</w:t>
            </w:r>
          </w:p>
        </w:tc>
      </w:tr>
      <w:tr w:rsidR="00DE5E22" w:rsidRPr="00DE5E22" w14:paraId="42A8C14B" w14:textId="77777777" w:rsidTr="00DE5E22"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3154945" w14:textId="77777777" w:rsidR="00DE5E22" w:rsidRPr="00DE5E22" w:rsidRDefault="003B7DEC" w:rsidP="00DE5E22">
            <w:pPr>
              <w:spacing w:line="240" w:lineRule="auto"/>
              <w:jc w:val="left"/>
              <w:rPr>
                <w:rFonts w:eastAsiaTheme="minorHAnsi"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74368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Renovar: Eficiencia energética de edificios públicos y privados</w:t>
            </w:r>
          </w:p>
        </w:tc>
      </w:tr>
      <w:tr w:rsidR="00DE5E22" w:rsidRPr="00DE5E22" w14:paraId="747E8768" w14:textId="77777777" w:rsidTr="00DE5E22"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5F0C434B" w14:textId="77777777" w:rsidR="00DE5E22" w:rsidRPr="00DE5E22" w:rsidRDefault="003B7DEC" w:rsidP="00DE5E22">
            <w:pPr>
              <w:spacing w:line="240" w:lineRule="auto"/>
              <w:jc w:val="left"/>
              <w:rPr>
                <w:rFonts w:eastAsiaTheme="minorHAnsi"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34162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Recarga y repostaje - Tecnologías limpias transporte sostenible, accesible e inteligente, extensión del transporte público</w:t>
            </w:r>
          </w:p>
        </w:tc>
      </w:tr>
      <w:tr w:rsidR="00DE5E22" w:rsidRPr="00DE5E22" w14:paraId="4DC10931" w14:textId="77777777" w:rsidTr="00DE5E22"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351DA7F4" w14:textId="77777777" w:rsidR="00DE5E22" w:rsidRPr="00DE5E22" w:rsidRDefault="003B7DEC" w:rsidP="00DE5E22">
            <w:pPr>
              <w:spacing w:line="240" w:lineRule="auto"/>
              <w:jc w:val="left"/>
              <w:rPr>
                <w:rFonts w:eastAsiaTheme="minorHAnsi"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4299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Conectividad: servicios de banda ancha rápidos en todas las regiones y hogares, incluidas las redes de fibra y 5G</w:t>
            </w:r>
          </w:p>
        </w:tc>
      </w:tr>
      <w:tr w:rsidR="00DE5E22" w:rsidRPr="00DE5E22" w14:paraId="37F36361" w14:textId="77777777" w:rsidTr="00DE5E22"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18A7692" w14:textId="77777777" w:rsidR="00DE5E22" w:rsidRPr="00DE5E22" w:rsidRDefault="003B7DEC" w:rsidP="00DE5E22">
            <w:pPr>
              <w:spacing w:line="240" w:lineRule="auto"/>
              <w:jc w:val="left"/>
              <w:rPr>
                <w:rFonts w:eastAsiaTheme="minorHAnsi"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236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Modernizar administración: digitalización de servicios públicos, incluidos sistemas judicial y sanitario</w:t>
            </w:r>
          </w:p>
        </w:tc>
      </w:tr>
      <w:tr w:rsidR="00DE5E22" w:rsidRPr="00DE5E22" w14:paraId="00716812" w14:textId="77777777" w:rsidTr="00DE5E22"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F385DC1" w14:textId="77777777" w:rsidR="00DE5E22" w:rsidRPr="00DE5E22" w:rsidRDefault="003B7DEC" w:rsidP="00DE5E22">
            <w:pPr>
              <w:spacing w:line="240" w:lineRule="auto"/>
              <w:jc w:val="left"/>
              <w:rPr>
                <w:rFonts w:eastAsiaTheme="minorHAnsi"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4469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Ampliación: capacidades de la nube de datos industriales europeos y desarrollo de procesadores más potentes, de vanguardia y sostenibles</w:t>
            </w:r>
          </w:p>
        </w:tc>
      </w:tr>
      <w:tr w:rsidR="00DE5E22" w:rsidRPr="00DE5E22" w14:paraId="60D34133" w14:textId="77777777" w:rsidTr="00DE5E22"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19B21B6F" w14:textId="77777777" w:rsidR="00DE5E22" w:rsidRPr="00DE5E22" w:rsidRDefault="003B7DEC" w:rsidP="00DE5E22">
            <w:pPr>
              <w:spacing w:line="240" w:lineRule="auto"/>
              <w:jc w:val="left"/>
              <w:rPr>
                <w:rFonts w:asciiTheme="minorHAnsi" w:eastAsiaTheme="minorHAnsi" w:hAnsiTheme="minorHAnsi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8929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20"/>
                <w:szCs w:val="20"/>
              </w:rPr>
              <w:t xml:space="preserve"> </w:t>
            </w:r>
            <w:r w:rsidR="00DE5E22" w:rsidRPr="00DE5E22">
              <w:rPr>
                <w:rFonts w:cs="Segoe UI"/>
                <w:sz w:val="18"/>
                <w:szCs w:val="18"/>
              </w:rPr>
              <w:t>Reciclaje y perfeccionamiento: sistemas educativos para apoyar las competencias digitales, la formación educativa y profesional para todas las edades</w:t>
            </w:r>
          </w:p>
        </w:tc>
      </w:tr>
    </w:tbl>
    <w:p w14:paraId="07100015" w14:textId="0BDFD5E3" w:rsidR="00DE5E22" w:rsidRPr="00DE5E22" w:rsidRDefault="00DE5E22">
      <w:pPr>
        <w:rPr>
          <w:b/>
          <w:bCs/>
        </w:rPr>
      </w:pPr>
    </w:p>
    <w:p w14:paraId="1E1FBCAB" w14:textId="77777777" w:rsidR="00DE5E22" w:rsidRPr="00DE5E22" w:rsidRDefault="00DE5E22" w:rsidP="00DE5E22">
      <w:pPr>
        <w:rPr>
          <w:b/>
          <w:bCs/>
        </w:rPr>
      </w:pPr>
      <w:r w:rsidRPr="00DE5E22">
        <w:rPr>
          <w:b/>
          <w:bCs/>
        </w:rPr>
        <w:t>CONTRIBUCIÓN Del proyecto A la transformación ECOLÓGICA Y digital</w:t>
      </w:r>
    </w:p>
    <w:p w14:paraId="04961E10" w14:textId="77777777" w:rsidR="00DE5E22" w:rsidRDefault="00DE5E22" w:rsidP="00DE5E22">
      <w:pPr>
        <w:tabs>
          <w:tab w:val="right" w:leader="dot" w:pos="9632"/>
        </w:tabs>
        <w:rPr>
          <w:i/>
          <w:iCs/>
          <w:sz w:val="8"/>
          <w:szCs w:val="8"/>
        </w:rPr>
      </w:pPr>
    </w:p>
    <w:tbl>
      <w:tblPr>
        <w:tblStyle w:val="azulzabalasinsombreadoparaactividades"/>
        <w:tblW w:w="5002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4251"/>
      </w:tblGrid>
      <w:tr w:rsidR="00DE5E22" w:rsidRPr="00DE5E22" w14:paraId="0D2A0787" w14:textId="77777777" w:rsidTr="00DE5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  <w:hideMark/>
          </w:tcPr>
          <w:p w14:paraId="0E0C03B6" w14:textId="77777777" w:rsidR="00DE5E22" w:rsidRPr="00DE5E22" w:rsidRDefault="00DE5E22" w:rsidP="00DE5E22">
            <w:pPr>
              <w:pStyle w:val="tablattuloblanco1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color w:val="auto"/>
                <w:sz w:val="18"/>
                <w:szCs w:val="18"/>
                <w:lang w:eastAsia="es-ES"/>
              </w:rPr>
              <w:t>Ecológica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  <w:hideMark/>
          </w:tcPr>
          <w:p w14:paraId="7DF723EC" w14:textId="77777777" w:rsidR="00DE5E22" w:rsidRPr="00DE5E22" w:rsidRDefault="00DE5E22" w:rsidP="00DE5E22">
            <w:pPr>
              <w:pStyle w:val="tablattuloblanco1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color w:val="auto"/>
                <w:sz w:val="18"/>
                <w:szCs w:val="18"/>
                <w:lang w:eastAsia="es-ES"/>
              </w:rPr>
              <w:t>Digital</w:t>
            </w:r>
          </w:p>
        </w:tc>
      </w:tr>
      <w:tr w:rsidR="00DE5E22" w:rsidRPr="00DE5E22" w14:paraId="2BCF0FFE" w14:textId="77777777" w:rsidTr="00DE5E22">
        <w:trPr>
          <w:jc w:val="center"/>
        </w:trPr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206F8403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28303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Objetivos clima y energía 2030</w:t>
            </w:r>
          </w:p>
        </w:tc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712822E1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74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  Mejorar el Rendimiento Digital según se mide en el DESI (Digital </w:t>
            </w:r>
            <w:proofErr w:type="spellStart"/>
            <w:r w:rsidR="00DE5E22" w:rsidRPr="00DE5E22">
              <w:rPr>
                <w:rFonts w:cs="Segoe UI"/>
                <w:sz w:val="18"/>
                <w:szCs w:val="18"/>
              </w:rPr>
              <w:t>Economy</w:t>
            </w:r>
            <w:proofErr w:type="spellEnd"/>
            <w:r w:rsidR="00DE5E22" w:rsidRPr="00DE5E22">
              <w:rPr>
                <w:rFonts w:cs="Segoe UI"/>
                <w:sz w:val="18"/>
                <w:szCs w:val="18"/>
              </w:rPr>
              <w:t xml:space="preserve"> and </w:t>
            </w:r>
            <w:proofErr w:type="spellStart"/>
            <w:r w:rsidR="00DE5E22" w:rsidRPr="00DE5E22">
              <w:rPr>
                <w:rFonts w:cs="Segoe UI"/>
                <w:sz w:val="18"/>
                <w:szCs w:val="18"/>
              </w:rPr>
              <w:t>Society</w:t>
            </w:r>
            <w:proofErr w:type="spellEnd"/>
            <w:r w:rsidR="00DE5E22" w:rsidRPr="00DE5E22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DE5E22" w:rsidRPr="00DE5E22">
              <w:rPr>
                <w:rFonts w:cs="Segoe UI"/>
                <w:sz w:val="18"/>
                <w:szCs w:val="18"/>
              </w:rPr>
              <w:t>Index</w:t>
            </w:r>
            <w:proofErr w:type="spellEnd"/>
            <w:r w:rsidR="00DE5E22" w:rsidRPr="00DE5E22">
              <w:rPr>
                <w:rFonts w:cs="Segoe UI"/>
                <w:sz w:val="18"/>
                <w:szCs w:val="18"/>
              </w:rPr>
              <w:t>)</w:t>
            </w:r>
          </w:p>
        </w:tc>
      </w:tr>
      <w:tr w:rsidR="00DE5E22" w:rsidRPr="00DE5E22" w14:paraId="256621EE" w14:textId="77777777" w:rsidTr="00DE5E22">
        <w:trPr>
          <w:jc w:val="center"/>
        </w:trPr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41A55FA9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6711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Neutralidad climática 2050</w:t>
            </w:r>
          </w:p>
        </w:tc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0053AED0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8139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Conectividad 5G y fibra en línea con los objetivos EU 2025</w:t>
            </w:r>
          </w:p>
        </w:tc>
      </w:tr>
      <w:tr w:rsidR="00DE5E22" w:rsidRPr="00DE5E22" w14:paraId="5A473ED7" w14:textId="77777777" w:rsidTr="00DE5E22">
        <w:trPr>
          <w:jc w:val="center"/>
        </w:trPr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5A305C10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3833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Objetivos clima nacionales (en línea con las Leyes Climáticas propuestas)</w:t>
            </w:r>
          </w:p>
        </w:tc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0C48A74F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92832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Investigación y Desarrollo TIC</w:t>
            </w:r>
          </w:p>
        </w:tc>
      </w:tr>
      <w:tr w:rsidR="00DE5E22" w:rsidRPr="00DE5E22" w14:paraId="54A7D7C9" w14:textId="77777777" w:rsidTr="00DE5E22">
        <w:trPr>
          <w:jc w:val="center"/>
        </w:trPr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7A42A055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20891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 Reducción emisiones gases de efecto invernadero, ratio de renovables, eficiencia energética, etc.</w:t>
            </w:r>
          </w:p>
        </w:tc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690DE219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00771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Adopción de tecnologías digitales por las empresas</w:t>
            </w:r>
          </w:p>
        </w:tc>
      </w:tr>
      <w:tr w:rsidR="00DE5E22" w:rsidRPr="00DE5E22" w14:paraId="606A3DF8" w14:textId="77777777" w:rsidTr="00DE5E22">
        <w:trPr>
          <w:jc w:val="center"/>
        </w:trPr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460E19C7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22391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Objetivos medioambientales a nivel EU (p.ej. economía circular</w:t>
            </w:r>
          </w:p>
        </w:tc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25FFC661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8002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Promoción de la ciber-resiliencia</w:t>
            </w:r>
          </w:p>
        </w:tc>
      </w:tr>
      <w:tr w:rsidR="00DE5E22" w:rsidRPr="00DE5E22" w14:paraId="42108D49" w14:textId="77777777" w:rsidTr="00DE5E22">
        <w:trPr>
          <w:jc w:val="center"/>
        </w:trPr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66D83EEA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7351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Principio ‘</w:t>
            </w:r>
            <w:r w:rsidR="00DE5E22" w:rsidRPr="00DE5E22">
              <w:rPr>
                <w:rFonts w:cs="Segoe UI"/>
                <w:sz w:val="18"/>
                <w:szCs w:val="18"/>
                <w:lang w:val="en-GB"/>
              </w:rPr>
              <w:t>Do no significant harm’</w:t>
            </w:r>
          </w:p>
        </w:tc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10F27F76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87944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Mejora de las habilidades digitales</w:t>
            </w:r>
          </w:p>
        </w:tc>
      </w:tr>
      <w:tr w:rsidR="00DE5E22" w:rsidRPr="00DE5E22" w14:paraId="6DCDCBCF" w14:textId="77777777" w:rsidTr="00DE5E22">
        <w:trPr>
          <w:jc w:val="center"/>
        </w:trPr>
        <w:tc>
          <w:tcPr>
            <w:tcW w:w="2500" w:type="pct"/>
            <w:shd w:val="clear" w:color="auto" w:fill="FFFFFF" w:themeFill="background1"/>
            <w:vAlign w:val="top"/>
          </w:tcPr>
          <w:p w14:paraId="100904EF" w14:textId="77777777" w:rsidR="00DE5E22" w:rsidRPr="00DE5E22" w:rsidRDefault="00DE5E22" w:rsidP="00DE5E22">
            <w:pPr>
              <w:spacing w:line="240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top"/>
            <w:hideMark/>
          </w:tcPr>
          <w:p w14:paraId="450F0F61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31934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 Hacer el sector digital más sostenible</w:t>
            </w:r>
          </w:p>
        </w:tc>
      </w:tr>
    </w:tbl>
    <w:p w14:paraId="251D180B" w14:textId="4A5BC47F" w:rsidR="00DE5E22" w:rsidRDefault="00DE5E22"/>
    <w:p w14:paraId="3D8E0B56" w14:textId="77777777" w:rsidR="008F72EC" w:rsidRDefault="008F72EC"/>
    <w:p w14:paraId="50EE80F6" w14:textId="77777777" w:rsidR="00DE5E22" w:rsidRPr="00DE5E22" w:rsidRDefault="00DE5E22" w:rsidP="00DE5E22">
      <w:pPr>
        <w:rPr>
          <w:b/>
          <w:bCs/>
        </w:rPr>
      </w:pPr>
      <w:r w:rsidRPr="00DE5E22">
        <w:rPr>
          <w:b/>
          <w:bCs/>
        </w:rPr>
        <w:t>ENCAJE CON EL PLAN DE recuperación, TRANSFORMACIÓN y Resiliencia (ESPAÑA)</w:t>
      </w:r>
    </w:p>
    <w:p w14:paraId="68D6352E" w14:textId="4A4BD75D" w:rsidR="00DE5E22" w:rsidRDefault="00DE5E22" w:rsidP="00DE5E22">
      <w:pPr>
        <w:pStyle w:val="Ttulo3"/>
        <w:ind w:left="142"/>
        <w:rPr>
          <w:rFonts w:asciiTheme="minorHAnsi" w:eastAsiaTheme="minorHAnsi" w:hAnsiTheme="minorHAnsi" w:cstheme="minorBidi"/>
          <w:i/>
          <w:iCs/>
          <w:color w:val="FF0000"/>
          <w:sz w:val="16"/>
          <w:szCs w:val="16"/>
        </w:rPr>
      </w:pPr>
    </w:p>
    <w:tbl>
      <w:tblPr>
        <w:tblStyle w:val="azulzabalasinsombreadoparaactividades"/>
        <w:tblW w:w="4504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DE5E22" w:rsidRPr="00DE5E22" w14:paraId="64E5DB70" w14:textId="77777777" w:rsidTr="00DE5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  <w:hideMark/>
          </w:tcPr>
          <w:p w14:paraId="7CC3216A" w14:textId="77777777" w:rsidR="00DE5E22" w:rsidRPr="00DE5E22" w:rsidRDefault="00DE5E22">
            <w:pPr>
              <w:pStyle w:val="tablattuloblanco10"/>
              <w:rPr>
                <w:b/>
                <w:bCs/>
                <w:color w:val="auto"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color w:val="auto"/>
                <w:sz w:val="18"/>
                <w:szCs w:val="18"/>
                <w:lang w:eastAsia="es-ES"/>
              </w:rPr>
              <w:t>Políticas palanca de reforma estructural</w:t>
            </w:r>
          </w:p>
        </w:tc>
      </w:tr>
      <w:tr w:rsidR="00DE5E22" w:rsidRPr="00DE5E22" w14:paraId="2D9CBCBF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120424F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1. Agenda urbana y rural, lucha contra la despoblación y desarrollo de la agricultura</w:t>
            </w:r>
          </w:p>
        </w:tc>
      </w:tr>
      <w:tr w:rsidR="00DE5E22" w:rsidRPr="00DE5E22" w14:paraId="6B8AD8A7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7101C260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0742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1. Plan de choque de movilidad sostenible, segura y conectada en entornos urbanos y metropolitanos</w:t>
            </w:r>
          </w:p>
        </w:tc>
      </w:tr>
      <w:tr w:rsidR="00DE5E22" w:rsidRPr="00DE5E22" w14:paraId="36C57E1B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48A68191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6479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2. Plan de rehabilitación de vivienda y regeneración urbana</w:t>
            </w:r>
          </w:p>
        </w:tc>
      </w:tr>
      <w:tr w:rsidR="00DE5E22" w:rsidRPr="00DE5E22" w14:paraId="3F5A9F25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518390E6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0722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3. Transformación y digitalización de la cadena logística del sistema agroalimentario y pesquero</w:t>
            </w:r>
          </w:p>
        </w:tc>
      </w:tr>
      <w:tr w:rsidR="00DE5E22" w:rsidRPr="00DE5E22" w14:paraId="743F6D74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1298353F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2. Infraestructuras y ecosistemas resilientes</w:t>
            </w:r>
          </w:p>
        </w:tc>
      </w:tr>
      <w:tr w:rsidR="00DE5E22" w:rsidRPr="00DE5E22" w14:paraId="6088783C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4056E47D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6834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4. Conservación y restauración de ecosistemas y su biodiversidad</w:t>
            </w:r>
          </w:p>
        </w:tc>
      </w:tr>
      <w:tr w:rsidR="00DE5E22" w:rsidRPr="00DE5E22" w14:paraId="44662A42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E79740E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1778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5. Preservación del espacio litoral y los recursos hídricos</w:t>
            </w:r>
          </w:p>
        </w:tc>
      </w:tr>
      <w:tr w:rsidR="00DE5E22" w:rsidRPr="00DE5E22" w14:paraId="47B61D9E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1E6FF27B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57624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6. Movilidad sostenible, segura y conectada</w:t>
            </w:r>
          </w:p>
        </w:tc>
      </w:tr>
      <w:tr w:rsidR="00DE5E22" w:rsidRPr="00DE5E22" w14:paraId="486BBE97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309B146F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lastRenderedPageBreak/>
              <w:t>3. Transición energética justa e inclusiva</w:t>
            </w:r>
          </w:p>
        </w:tc>
      </w:tr>
      <w:tr w:rsidR="00DE5E22" w:rsidRPr="00DE5E22" w14:paraId="64DCC025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87B7FA5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15672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7. Despliegue masivo del parque de generación renovable dirigido al desarrollo de energía</w:t>
            </w:r>
          </w:p>
        </w:tc>
      </w:tr>
      <w:tr w:rsidR="00DE5E22" w:rsidRPr="00DE5E22" w14:paraId="19AB6C3E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3C4382B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65564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8. Infraestructuras eléctricas, promoción de redes inteligentes y despliegue de la flexibilidad y el almacenamiento</w:t>
            </w:r>
          </w:p>
        </w:tc>
      </w:tr>
      <w:tr w:rsidR="00DE5E22" w:rsidRPr="00DE5E22" w14:paraId="7F99291A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06436DA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32116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9. Hoja de ruta del hidrógeno renovable y su integración sectorial</w:t>
            </w:r>
          </w:p>
        </w:tc>
      </w:tr>
      <w:tr w:rsidR="00DE5E22" w:rsidRPr="00DE5E22" w14:paraId="48ED3529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31CAB778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2766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MS Gothic" w:eastAsia="MS Gothic" w:hAnsi="MS Gothic" w:cs="Segoe U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10. Estrategia de Transición Justa</w:t>
            </w:r>
          </w:p>
        </w:tc>
      </w:tr>
      <w:tr w:rsidR="00DE5E22" w:rsidRPr="00DE5E22" w14:paraId="2E3D16D4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4F1D3312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4. Una Administración para el siglo XXI</w:t>
            </w:r>
          </w:p>
        </w:tc>
      </w:tr>
      <w:tr w:rsidR="00DE5E22" w:rsidRPr="00DE5E22" w14:paraId="661D6801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78A17BF5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21285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11. Modernización de las administraciones públicas, que incluye las siguientes grandes líneas de actuación</w:t>
            </w:r>
          </w:p>
        </w:tc>
      </w:tr>
      <w:tr w:rsidR="00DE5E22" w:rsidRPr="00DE5E22" w14:paraId="5886BABC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112BCDE6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5. Modernización y digitalización del tejido industrial y de la pyme, recuperación del turismo e impulso a una España nación emprendedora</w:t>
            </w:r>
          </w:p>
        </w:tc>
      </w:tr>
      <w:tr w:rsidR="00DE5E22" w:rsidRPr="00DE5E22" w14:paraId="4DF49407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43B69164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96732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MS Gothic" w:eastAsia="MS Gothic" w:hAnsi="MS Gothic" w:cs="Segoe U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12. Política Industrial España 2030</w:t>
            </w:r>
          </w:p>
        </w:tc>
      </w:tr>
      <w:tr w:rsidR="00DE5E22" w:rsidRPr="00DE5E22" w14:paraId="2F9E5A09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3ADF9D32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86063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MS Gothic" w:eastAsia="MS Gothic" w:hAnsi="MS Gothic" w:cs="Segoe U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13. Impulso a la pyme</w:t>
            </w:r>
          </w:p>
        </w:tc>
      </w:tr>
      <w:tr w:rsidR="00DE5E22" w:rsidRPr="00DE5E22" w14:paraId="7BF6FBD3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8F0E10F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3308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14. Plan de modernización y competitividad del sector turístico</w:t>
            </w:r>
          </w:p>
        </w:tc>
      </w:tr>
      <w:tr w:rsidR="00DE5E22" w:rsidRPr="00DE5E22" w14:paraId="09DAAA47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4D27C5C3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616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15. Conectividad Digital, impulso de la ciberseguridad y despliegue del 5G</w:t>
            </w:r>
          </w:p>
        </w:tc>
      </w:tr>
      <w:tr w:rsidR="00DE5E22" w:rsidRPr="00DE5E22" w14:paraId="6A5CECDE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24C31081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6. Pacto por la ciencia y la innovación. Refuerzo a las capacidades del Sistema Nacional de Salud</w:t>
            </w:r>
          </w:p>
        </w:tc>
      </w:tr>
      <w:tr w:rsidR="00DE5E22" w:rsidRPr="00DE5E22" w14:paraId="07B8FA3A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9F7EFD8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6690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16. Estrategia Nacional de Inteligencia Artificial</w:t>
            </w:r>
          </w:p>
        </w:tc>
      </w:tr>
      <w:tr w:rsidR="00DE5E22" w:rsidRPr="00DE5E22" w14:paraId="47B271D4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5E6444DB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8386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17. Reforma institucional y fortalecimiento de las capacidades del sistema nacional de ciencia, tecnología e innovación</w:t>
            </w:r>
          </w:p>
        </w:tc>
      </w:tr>
      <w:tr w:rsidR="00DE5E22" w:rsidRPr="00DE5E22" w14:paraId="7413830F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23C5BDEA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3898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18. Renovación y ampliación de las capacidades del Sistema Nacional de Salud</w:t>
            </w:r>
          </w:p>
        </w:tc>
      </w:tr>
      <w:tr w:rsidR="00DE5E22" w:rsidRPr="00DE5E22" w14:paraId="7BA52FE4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2B97DA79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7. Educación y conocimiento, formación continua y desarrollo de capacidades</w:t>
            </w:r>
          </w:p>
        </w:tc>
      </w:tr>
      <w:tr w:rsidR="00DE5E22" w:rsidRPr="00DE5E22" w14:paraId="143CB323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B2B392A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2630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 19. Plan nacional de capacidades digitales (digital </w:t>
            </w:r>
            <w:proofErr w:type="spellStart"/>
            <w:r w:rsidR="00DE5E22" w:rsidRPr="00DE5E22">
              <w:rPr>
                <w:rFonts w:cs="Segoe UI"/>
                <w:sz w:val="18"/>
                <w:szCs w:val="18"/>
              </w:rPr>
              <w:t>skills</w:t>
            </w:r>
            <w:proofErr w:type="spellEnd"/>
            <w:r w:rsidR="00DE5E22" w:rsidRPr="00DE5E22">
              <w:rPr>
                <w:rFonts w:cs="Segoe UI"/>
                <w:sz w:val="18"/>
                <w:szCs w:val="18"/>
              </w:rPr>
              <w:t>)</w:t>
            </w:r>
          </w:p>
        </w:tc>
      </w:tr>
      <w:tr w:rsidR="00DE5E22" w:rsidRPr="00DE5E22" w14:paraId="5D40285B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77B10600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68343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20. Plan estratégico de impulso de la Formación Profesional</w:t>
            </w:r>
          </w:p>
        </w:tc>
      </w:tr>
      <w:tr w:rsidR="00DE5E22" w:rsidRPr="00DE5E22" w14:paraId="52AFD41A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1591CBB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90976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21. Modernización y digitalización del sistema educativo</w:t>
            </w:r>
          </w:p>
        </w:tc>
      </w:tr>
      <w:tr w:rsidR="00DE5E22" w:rsidRPr="00DE5E22" w14:paraId="531BB009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3E68BCB1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8. Nueva economía de los cuidados y políticas de empleo</w:t>
            </w:r>
          </w:p>
        </w:tc>
      </w:tr>
      <w:tr w:rsidR="00DE5E22" w:rsidRPr="00DE5E22" w14:paraId="0DCECB75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83D2C06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00763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22. Plan de choque para la economía de los cuidados y refuerzo de las políticas de inclusión</w:t>
            </w:r>
          </w:p>
        </w:tc>
      </w:tr>
      <w:tr w:rsidR="00DE5E22" w:rsidRPr="00DE5E22" w14:paraId="6B5A1346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516002D9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73291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23. Nuevas políticas públicas para un mercado de trabajo dinámico, resiliente e inclusivo</w:t>
            </w:r>
          </w:p>
        </w:tc>
      </w:tr>
      <w:tr w:rsidR="00DE5E22" w:rsidRPr="00DE5E22" w14:paraId="644F1FF1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79A25977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9. Impulso de la industria de la cultura y el deporte</w:t>
            </w:r>
          </w:p>
        </w:tc>
      </w:tr>
      <w:tr w:rsidR="00DE5E22" w:rsidRPr="00DE5E22" w14:paraId="0FA2C835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4A89482D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91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24. Revalorización de la industria cultural</w:t>
            </w:r>
          </w:p>
        </w:tc>
      </w:tr>
      <w:tr w:rsidR="00DE5E22" w:rsidRPr="00DE5E22" w14:paraId="2FBF24DD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72E75545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21072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DE5E22">
                  <w:rPr>
                    <w:rFonts w:ascii="MS Gothic" w:eastAsia="MS Gothic" w:hAnsi="MS Gothic" w:cs="Segoe U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 xml:space="preserve"> 25. </w:t>
            </w:r>
            <w:proofErr w:type="spellStart"/>
            <w:r w:rsidR="00DE5E22" w:rsidRPr="00DE5E22">
              <w:rPr>
                <w:rFonts w:cs="Segoe UI"/>
                <w:sz w:val="18"/>
                <w:szCs w:val="18"/>
              </w:rPr>
              <w:t>Spain</w:t>
            </w:r>
            <w:proofErr w:type="spellEnd"/>
            <w:r w:rsidR="00DE5E22" w:rsidRPr="00DE5E22">
              <w:rPr>
                <w:rFonts w:cs="Segoe UI"/>
                <w:sz w:val="18"/>
                <w:szCs w:val="18"/>
              </w:rPr>
              <w:t xml:space="preserve"> Audiovisual Hub</w:t>
            </w:r>
          </w:p>
        </w:tc>
      </w:tr>
      <w:tr w:rsidR="00DE5E22" w:rsidRPr="00DE5E22" w14:paraId="42C08A5E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52F6023C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-13019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26. Fomento del sector del deporte</w:t>
            </w:r>
          </w:p>
        </w:tc>
      </w:tr>
      <w:tr w:rsidR="00DE5E22" w:rsidRPr="00DE5E22" w14:paraId="797B1D75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6F89186E" w14:textId="77777777" w:rsidR="00DE5E22" w:rsidRPr="00DE5E22" w:rsidRDefault="00DE5E22" w:rsidP="00DE5E22">
            <w:pPr>
              <w:spacing w:line="240" w:lineRule="auto"/>
              <w:jc w:val="left"/>
              <w:rPr>
                <w:rFonts w:cs="Segoe UI"/>
                <w:b/>
                <w:bCs/>
                <w:sz w:val="18"/>
                <w:szCs w:val="18"/>
              </w:rPr>
            </w:pPr>
            <w:r w:rsidRPr="00DE5E22">
              <w:rPr>
                <w:rFonts w:cs="Segoe UI"/>
                <w:b/>
                <w:bCs/>
                <w:sz w:val="18"/>
                <w:szCs w:val="18"/>
              </w:rPr>
              <w:t>10. Modernización del sistema fiscal para un crecimiento inclusivo y sostenible</w:t>
            </w:r>
          </w:p>
        </w:tc>
      </w:tr>
      <w:tr w:rsidR="00DE5E22" w:rsidRPr="00DE5E22" w14:paraId="65122F0D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326081F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9819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27. Ley de medidas de prevención y lucha contra el fraude fiscal</w:t>
            </w:r>
          </w:p>
        </w:tc>
      </w:tr>
      <w:tr w:rsidR="00DE5E22" w:rsidRPr="00DE5E22" w14:paraId="000E6314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5A402DC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89260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28. Adaptación del sistema impositivo a la realidad del siglo XXI</w:t>
            </w:r>
          </w:p>
        </w:tc>
      </w:tr>
      <w:tr w:rsidR="00DE5E22" w:rsidRPr="00DE5E22" w14:paraId="4C91A55A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42FBAFBC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6656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29. Mejora de la eficacia del gasto público</w:t>
            </w:r>
          </w:p>
        </w:tc>
      </w:tr>
      <w:tr w:rsidR="00DE5E22" w:rsidRPr="00DE5E22" w14:paraId="1B3234FF" w14:textId="77777777" w:rsidTr="00DE5E22">
        <w:trPr>
          <w:jc w:val="center"/>
        </w:trPr>
        <w:tc>
          <w:tcPr>
            <w:tcW w:w="5000" w:type="pct"/>
            <w:shd w:val="clear" w:color="auto" w:fill="FFFFFF" w:themeFill="background1"/>
            <w:vAlign w:val="top"/>
            <w:hideMark/>
          </w:tcPr>
          <w:p w14:paraId="0A813DF2" w14:textId="77777777" w:rsidR="00DE5E22" w:rsidRPr="00DE5E22" w:rsidRDefault="003B7DEC" w:rsidP="00DE5E22">
            <w:pPr>
              <w:spacing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rFonts w:cs="Segoe UI"/>
                  <w:sz w:val="18"/>
                  <w:szCs w:val="18"/>
                </w:rPr>
                <w:id w:val="16311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E22" w:rsidRPr="0069443D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E5E22" w:rsidRPr="00DE5E22">
              <w:rPr>
                <w:rFonts w:cs="Segoe UI"/>
                <w:sz w:val="18"/>
                <w:szCs w:val="18"/>
              </w:rPr>
              <w:t> 30. Sostenibilidad del sistema público de pensiones en el marco del Pacto de Toledo</w:t>
            </w:r>
          </w:p>
        </w:tc>
      </w:tr>
    </w:tbl>
    <w:p w14:paraId="3A078AA6" w14:textId="77777777" w:rsidR="00DE5E22" w:rsidRDefault="00DE5E22"/>
    <w:sectPr w:rsidR="00DE5E22" w:rsidSect="0069443D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63ABE" w14:textId="77777777" w:rsidR="003B7DEC" w:rsidRDefault="003B7DEC" w:rsidP="008463D6">
      <w:pPr>
        <w:spacing w:after="0" w:line="240" w:lineRule="auto"/>
      </w:pPr>
      <w:r>
        <w:separator/>
      </w:r>
    </w:p>
  </w:endnote>
  <w:endnote w:type="continuationSeparator" w:id="0">
    <w:p w14:paraId="059C1CB9" w14:textId="77777777" w:rsidR="003B7DEC" w:rsidRDefault="003B7DEC" w:rsidP="0084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35E9" w14:textId="77777777" w:rsidR="003B7DEC" w:rsidRDefault="003B7DEC" w:rsidP="008463D6">
      <w:pPr>
        <w:spacing w:after="0" w:line="240" w:lineRule="auto"/>
      </w:pPr>
      <w:r>
        <w:separator/>
      </w:r>
    </w:p>
  </w:footnote>
  <w:footnote w:type="continuationSeparator" w:id="0">
    <w:p w14:paraId="3B275E00" w14:textId="77777777" w:rsidR="003B7DEC" w:rsidRDefault="003B7DEC" w:rsidP="0084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BD6F" w14:textId="7D4947B4" w:rsidR="008463D6" w:rsidRDefault="008463D6">
    <w:pPr>
      <w:pStyle w:val="Encabezado"/>
    </w:pPr>
    <w:r>
      <w:rPr>
        <w:noProof/>
      </w:rPr>
      <w:drawing>
        <wp:inline distT="0" distB="0" distL="0" distR="0" wp14:anchorId="7F50CDCE" wp14:editId="37CF6B45">
          <wp:extent cx="1296000" cy="6480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96125"/>
    <w:multiLevelType w:val="hybridMultilevel"/>
    <w:tmpl w:val="39AAA6B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607014"/>
    <w:multiLevelType w:val="hybridMultilevel"/>
    <w:tmpl w:val="FF004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26A"/>
    <w:multiLevelType w:val="hybridMultilevel"/>
    <w:tmpl w:val="C7EE71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45B22"/>
    <w:multiLevelType w:val="hybridMultilevel"/>
    <w:tmpl w:val="39AAA6B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0A3390"/>
    <w:multiLevelType w:val="hybridMultilevel"/>
    <w:tmpl w:val="E25437A2"/>
    <w:lvl w:ilvl="0" w:tplc="95F8C0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34E17"/>
    <w:multiLevelType w:val="hybridMultilevel"/>
    <w:tmpl w:val="0D76C1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D6"/>
    <w:rsid w:val="003B7DEC"/>
    <w:rsid w:val="0069443D"/>
    <w:rsid w:val="008463D6"/>
    <w:rsid w:val="008F72EC"/>
    <w:rsid w:val="00B1023C"/>
    <w:rsid w:val="00DE5E22"/>
    <w:rsid w:val="00F1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B5D60"/>
  <w15:chartTrackingRefBased/>
  <w15:docId w15:val="{9343BF8E-38C8-4E87-BFD0-BC85374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D6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8463D6"/>
    <w:pPr>
      <w:keepNext/>
      <w:pBdr>
        <w:left w:val="single" w:sz="48" w:space="4" w:color="3D3AAF"/>
      </w:pBdr>
      <w:spacing w:after="0" w:line="312" w:lineRule="auto"/>
      <w:jc w:val="both"/>
      <w:outlineLvl w:val="0"/>
    </w:pPr>
    <w:rPr>
      <w:rFonts w:ascii="Segoe UI" w:eastAsia="Times New Roman" w:hAnsi="Segoe UI" w:cs="Arial"/>
      <w:b/>
      <w:bCs/>
      <w:caps/>
      <w:color w:val="3D3AAF"/>
      <w:kern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5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63D6"/>
    <w:rPr>
      <w:rFonts w:ascii="Segoe UI" w:eastAsia="Times New Roman" w:hAnsi="Segoe UI" w:cs="Arial"/>
      <w:b/>
      <w:bCs/>
      <w:caps/>
      <w:color w:val="3D3AAF"/>
      <w:kern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63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463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3D6"/>
  </w:style>
  <w:style w:type="paragraph" w:styleId="Piedepgina">
    <w:name w:val="footer"/>
    <w:basedOn w:val="Normal"/>
    <w:link w:val="PiedepginaCar"/>
    <w:uiPriority w:val="99"/>
    <w:unhideWhenUsed/>
    <w:rsid w:val="0084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3D6"/>
  </w:style>
  <w:style w:type="paragraph" w:customStyle="1" w:styleId="tablattuloblanco10">
    <w:name w:val="tabla título blanco 10"/>
    <w:basedOn w:val="Normal"/>
    <w:qFormat/>
    <w:rsid w:val="008463D6"/>
    <w:pPr>
      <w:spacing w:after="0" w:line="312" w:lineRule="auto"/>
      <w:jc w:val="center"/>
    </w:pPr>
    <w:rPr>
      <w:rFonts w:ascii="Segoe UI" w:eastAsia="Times New Roman" w:hAnsi="Segoe UI" w:cs="Times New Roman"/>
      <w:color w:val="FFFFFF" w:themeColor="background1"/>
      <w:sz w:val="20"/>
      <w:szCs w:val="20"/>
      <w:lang w:eastAsia="es-ES_tradnl"/>
    </w:rPr>
  </w:style>
  <w:style w:type="paragraph" w:customStyle="1" w:styleId="tablatexto8">
    <w:name w:val="tabla texto 8"/>
    <w:basedOn w:val="Normal"/>
    <w:qFormat/>
    <w:rsid w:val="008463D6"/>
    <w:pPr>
      <w:spacing w:after="0" w:line="312" w:lineRule="auto"/>
      <w:jc w:val="both"/>
    </w:pPr>
    <w:rPr>
      <w:rFonts w:ascii="Segoe UI" w:eastAsia="Times New Roman" w:hAnsi="Segoe UI" w:cs="Times New Roman"/>
      <w:color w:val="404040" w:themeColor="text1" w:themeTint="BF"/>
      <w:sz w:val="16"/>
      <w:szCs w:val="20"/>
      <w:lang w:eastAsia="es-ES_tradnl"/>
    </w:rPr>
  </w:style>
  <w:style w:type="table" w:customStyle="1" w:styleId="azulzabalasinsombreadoparaactividades">
    <w:name w:val="azul zabala sin sombreado para actividades"/>
    <w:basedOn w:val="Tablanormal"/>
    <w:uiPriority w:val="99"/>
    <w:rsid w:val="008463D6"/>
    <w:pPr>
      <w:spacing w:after="0" w:line="240" w:lineRule="auto"/>
      <w:jc w:val="center"/>
    </w:pPr>
    <w:rPr>
      <w:rFonts w:ascii="Segoe UI" w:eastAsia="Times New Roman" w:hAnsi="Segoe UI"/>
    </w:rPr>
    <w:tblPr>
      <w:tblStyleRowBandSize w:val="1"/>
      <w:tblInd w:w="0" w:type="nil"/>
      <w:tblBorders>
        <w:top w:val="single" w:sz="4" w:space="0" w:color="B7D0E7"/>
        <w:left w:val="single" w:sz="4" w:space="0" w:color="B7D0E7"/>
        <w:bottom w:val="single" w:sz="4" w:space="0" w:color="B7D0E7"/>
        <w:right w:val="single" w:sz="4" w:space="0" w:color="B7D0E7"/>
        <w:insideH w:val="single" w:sz="2" w:space="0" w:color="B7D0E7"/>
        <w:insideV w:val="single" w:sz="2" w:space="0" w:color="B7D0E7"/>
      </w:tblBorders>
    </w:tblPr>
    <w:tcPr>
      <w:shd w:val="clear" w:color="auto" w:fill="B7D0E7"/>
      <w:vAlign w:val="center"/>
    </w:tcPr>
    <w:tblStylePr w:type="firstRow">
      <w:pPr>
        <w:jc w:val="center"/>
      </w:pPr>
      <w:rPr>
        <w:rFonts w:ascii="Segoe UI" w:hAnsi="Segoe UI" w:cs="Segoe UI" w:hint="default"/>
        <w:color w:val="93173B"/>
      </w:rPr>
      <w:tblPr/>
      <w:tcPr>
        <w:tcBorders>
          <w:top w:val="nil"/>
          <w:left w:val="single" w:sz="2" w:space="0" w:color="F4884C"/>
          <w:bottom w:val="nil"/>
          <w:right w:val="single" w:sz="2" w:space="0" w:color="F4884C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F4884C"/>
        <w:vAlign w:val="center"/>
      </w:tcPr>
    </w:tblStylePr>
    <w:tblStylePr w:type="lastRow">
      <w:rPr>
        <w:color w:val="93173B"/>
      </w:rPr>
      <w:tblPr/>
      <w:tcPr>
        <w:shd w:val="clear" w:color="auto" w:fill="DFEFFA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DE5E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E5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Urbieta Nuñez</dc:creator>
  <cp:keywords/>
  <dc:description/>
  <cp:lastModifiedBy>Sheila Argaiz</cp:lastModifiedBy>
  <cp:revision>3</cp:revision>
  <dcterms:created xsi:type="dcterms:W3CDTF">2021-02-22T13:58:00Z</dcterms:created>
  <dcterms:modified xsi:type="dcterms:W3CDTF">2021-02-22T14:46:00Z</dcterms:modified>
</cp:coreProperties>
</file>